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23" w:rsidRPr="00D25C23" w:rsidRDefault="00D25C23" w:rsidP="00D25C23">
      <w:pPr>
        <w:spacing w:after="0" w:line="240" w:lineRule="auto"/>
        <w:jc w:val="center"/>
        <w:rPr>
          <w:rFonts w:ascii="Century Gothic" w:eastAsia="Century Gothic" w:hAnsi="Century Gothic"/>
          <w:b/>
          <w:sz w:val="20"/>
          <w:szCs w:val="20"/>
        </w:rPr>
      </w:pPr>
      <w:r w:rsidRPr="00D25C23">
        <w:rPr>
          <w:rFonts w:ascii="Century Gothic" w:eastAsia="Century Gothic" w:hAnsi="Century Gothic"/>
          <w:b/>
          <w:sz w:val="20"/>
          <w:szCs w:val="20"/>
        </w:rPr>
        <w:t>TEXTO APROBADO EN LA COMISION PRIMERA DE LA HONORABLE CÁMARA DE REPRESENTANTES EN PRIMER DEBATE PRIMERA VUELTA DEL</w:t>
      </w:r>
    </w:p>
    <w:p w:rsidR="00E64126" w:rsidRDefault="00E64126" w:rsidP="00D25C23">
      <w:pPr>
        <w:spacing w:after="0" w:line="240" w:lineRule="auto"/>
        <w:jc w:val="center"/>
        <w:rPr>
          <w:rFonts w:ascii="Century Gothic" w:eastAsia="Century Gothic" w:hAnsi="Century Gothic"/>
          <w:b/>
          <w:sz w:val="20"/>
          <w:szCs w:val="20"/>
        </w:rPr>
      </w:pPr>
      <w:r w:rsidRPr="00A06F0A">
        <w:rPr>
          <w:rFonts w:ascii="Century Gothic" w:eastAsia="Century Gothic" w:hAnsi="Century Gothic"/>
          <w:b/>
          <w:sz w:val="20"/>
          <w:szCs w:val="20"/>
        </w:rPr>
        <w:t xml:space="preserve">PROYECTO DE ACTO LEGISLATIVO No. 173 DE 2022 </w:t>
      </w:r>
      <w:r>
        <w:rPr>
          <w:rFonts w:ascii="Century Gothic" w:eastAsia="Century Gothic" w:hAnsi="Century Gothic"/>
          <w:b/>
          <w:sz w:val="20"/>
          <w:szCs w:val="20"/>
        </w:rPr>
        <w:t xml:space="preserve">CÁMARA </w:t>
      </w:r>
      <w:r w:rsidR="00AB609B">
        <w:rPr>
          <w:rFonts w:ascii="Century Gothic" w:eastAsia="Century Gothic" w:hAnsi="Century Gothic"/>
          <w:b/>
          <w:sz w:val="20"/>
          <w:szCs w:val="20"/>
        </w:rPr>
        <w:t>“</w:t>
      </w:r>
      <w:r w:rsidRPr="00A06F0A">
        <w:rPr>
          <w:rFonts w:ascii="Century Gothic" w:eastAsia="Century Gothic" w:hAnsi="Century Gothic"/>
          <w:b/>
          <w:sz w:val="20"/>
          <w:szCs w:val="20"/>
        </w:rPr>
        <w:t xml:space="preserve">POR EL CUAL SE REFORMA LA CONSTITUCIÓN POLÍTICA DE COLOMBIA Y SE ESTABLECE LA JURISDICCIÓN AGRARIA Y </w:t>
      </w:r>
    </w:p>
    <w:p w:rsidR="00E64126" w:rsidRDefault="00E64126" w:rsidP="00D25C23">
      <w:pPr>
        <w:spacing w:after="0" w:line="240" w:lineRule="auto"/>
        <w:jc w:val="center"/>
        <w:rPr>
          <w:rFonts w:ascii="Century Gothic" w:eastAsia="Century Gothic" w:hAnsi="Century Gothic"/>
          <w:b/>
          <w:sz w:val="20"/>
          <w:szCs w:val="20"/>
        </w:rPr>
      </w:pPr>
      <w:r w:rsidRPr="00A06F0A">
        <w:rPr>
          <w:rFonts w:ascii="Century Gothic" w:eastAsia="Century Gothic" w:hAnsi="Century Gothic"/>
          <w:b/>
          <w:sz w:val="20"/>
          <w:szCs w:val="20"/>
        </w:rPr>
        <w:t xml:space="preserve">RURAL” </w:t>
      </w:r>
    </w:p>
    <w:p w:rsidR="00E64126" w:rsidRPr="00A06F0A" w:rsidRDefault="00E64126" w:rsidP="00D25C23">
      <w:pPr>
        <w:spacing w:after="0" w:line="240" w:lineRule="auto"/>
        <w:jc w:val="center"/>
        <w:rPr>
          <w:rFonts w:ascii="Century Gothic" w:eastAsia="Century Gothic" w:hAnsi="Century Gothic"/>
          <w:b/>
          <w:sz w:val="20"/>
          <w:szCs w:val="20"/>
        </w:rPr>
      </w:pPr>
    </w:p>
    <w:p w:rsidR="00E64126" w:rsidRPr="00A06F0A" w:rsidRDefault="00E64126" w:rsidP="00D25C23">
      <w:pPr>
        <w:spacing w:after="0" w:line="240" w:lineRule="auto"/>
        <w:jc w:val="center"/>
        <w:rPr>
          <w:rFonts w:ascii="Century Gothic" w:eastAsia="Century Gothic" w:hAnsi="Century Gothic"/>
          <w:b/>
          <w:sz w:val="20"/>
          <w:szCs w:val="20"/>
        </w:rPr>
      </w:pPr>
      <w:r w:rsidRPr="00A06F0A">
        <w:rPr>
          <w:rFonts w:ascii="Century Gothic" w:eastAsia="Century Gothic" w:hAnsi="Century Gothic"/>
          <w:b/>
          <w:sz w:val="20"/>
          <w:szCs w:val="20"/>
        </w:rPr>
        <w:t xml:space="preserve">El Congreso de la República de Colombia </w:t>
      </w:r>
      <w:r w:rsidRPr="00A06F0A">
        <w:rPr>
          <w:rFonts w:ascii="Century Gothic" w:eastAsia="Century Gothic" w:hAnsi="Century Gothic"/>
          <w:b/>
          <w:sz w:val="20"/>
          <w:szCs w:val="20"/>
        </w:rPr>
        <w:br/>
      </w:r>
    </w:p>
    <w:p w:rsidR="00E64126" w:rsidRPr="00A06F0A" w:rsidRDefault="00E64126" w:rsidP="00D25C23">
      <w:pPr>
        <w:spacing w:after="0" w:line="240" w:lineRule="auto"/>
        <w:jc w:val="center"/>
        <w:rPr>
          <w:rFonts w:ascii="Century Gothic" w:eastAsia="Century Gothic" w:hAnsi="Century Gothic"/>
          <w:b/>
          <w:sz w:val="20"/>
          <w:szCs w:val="20"/>
        </w:rPr>
      </w:pPr>
      <w:r w:rsidRPr="00A06F0A">
        <w:rPr>
          <w:rFonts w:ascii="Century Gothic" w:eastAsia="Century Gothic" w:hAnsi="Century Gothic"/>
          <w:b/>
          <w:sz w:val="20"/>
          <w:szCs w:val="20"/>
        </w:rPr>
        <w:t>DECRETA:</w:t>
      </w:r>
    </w:p>
    <w:p w:rsidR="00E64126" w:rsidRPr="00A06F0A" w:rsidRDefault="00E64126" w:rsidP="00D25C23">
      <w:pPr>
        <w:spacing w:after="0" w:line="240" w:lineRule="auto"/>
        <w:ind w:right="115"/>
        <w:rPr>
          <w:rFonts w:ascii="Century Gothic" w:eastAsia="Century Gothic" w:hAnsi="Century Gothic"/>
          <w:b/>
          <w:sz w:val="20"/>
          <w:szCs w:val="20"/>
        </w:rPr>
      </w:pPr>
    </w:p>
    <w:p w:rsidR="00E64126" w:rsidRPr="00A06F0A" w:rsidRDefault="00E64126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  <w:r w:rsidRPr="00A06F0A">
        <w:rPr>
          <w:rFonts w:ascii="Century Gothic" w:eastAsia="Century Gothic" w:hAnsi="Century Gothic"/>
          <w:b/>
          <w:sz w:val="20"/>
          <w:szCs w:val="20"/>
        </w:rPr>
        <w:t>Artículo 1°.</w:t>
      </w:r>
      <w:r w:rsidRPr="00A06F0A">
        <w:rPr>
          <w:rFonts w:ascii="Century Gothic" w:eastAsia="Century Gothic" w:hAnsi="Century Gothic"/>
          <w:sz w:val="20"/>
          <w:szCs w:val="20"/>
        </w:rPr>
        <w:t xml:space="preserve"> El inciso primero del artículo 116 de la Constitución quedará así:</w:t>
      </w:r>
    </w:p>
    <w:p w:rsidR="00D25C23" w:rsidRDefault="00D25C23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</w:p>
    <w:p w:rsidR="00E64126" w:rsidRPr="00A06F0A" w:rsidRDefault="00E64126" w:rsidP="00D25C23">
      <w:pPr>
        <w:spacing w:after="0" w:line="240" w:lineRule="auto"/>
        <w:jc w:val="both"/>
        <w:rPr>
          <w:rFonts w:ascii="Century Gothic" w:eastAsia="Century Gothic" w:hAnsi="Century Gothic"/>
          <w:b/>
          <w:sz w:val="20"/>
          <w:szCs w:val="20"/>
        </w:rPr>
      </w:pPr>
      <w:r w:rsidRPr="00A06F0A">
        <w:rPr>
          <w:rFonts w:ascii="Century Gothic" w:eastAsia="Century Gothic" w:hAnsi="Century Gothic"/>
          <w:b/>
          <w:sz w:val="20"/>
          <w:szCs w:val="20"/>
        </w:rPr>
        <w:t>Artículo 116.</w:t>
      </w:r>
      <w:r w:rsidRPr="00A06F0A">
        <w:rPr>
          <w:rFonts w:ascii="Century Gothic" w:eastAsia="Century Gothic" w:hAnsi="Century Gothic"/>
          <w:sz w:val="20"/>
          <w:szCs w:val="20"/>
        </w:rPr>
        <w:t xml:space="preserve"> La Corte Constitucional, la Corte Suprema de Justicia, el Consejo de Estado, </w:t>
      </w:r>
      <w:r w:rsidRPr="00AB609B">
        <w:rPr>
          <w:rFonts w:ascii="Century Gothic" w:eastAsia="Century Gothic" w:hAnsi="Century Gothic"/>
          <w:sz w:val="20"/>
          <w:szCs w:val="20"/>
        </w:rPr>
        <w:t>Corte Agraria y Rural</w:t>
      </w:r>
      <w:r w:rsidRPr="00A06F0A">
        <w:rPr>
          <w:rFonts w:ascii="Century Gothic" w:eastAsia="Century Gothic" w:hAnsi="Century Gothic"/>
          <w:sz w:val="20"/>
          <w:szCs w:val="20"/>
        </w:rPr>
        <w:t>, la Comisión Nacional de Disciplina Judicial, la fiscalía general de la Nación, los Tribunales y los Jueces, administran Justicia. También lo hace la Justicia Penal Militar</w:t>
      </w:r>
    </w:p>
    <w:p w:rsidR="00E64126" w:rsidRPr="00A06F0A" w:rsidRDefault="00E64126" w:rsidP="00D25C23">
      <w:pPr>
        <w:spacing w:after="0" w:line="240" w:lineRule="auto"/>
        <w:ind w:right="115"/>
        <w:rPr>
          <w:rFonts w:ascii="Century Gothic" w:eastAsia="Century Gothic" w:hAnsi="Century Gothic"/>
          <w:b/>
          <w:sz w:val="20"/>
          <w:szCs w:val="20"/>
        </w:rPr>
      </w:pPr>
    </w:p>
    <w:p w:rsidR="00E64126" w:rsidRDefault="00E64126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  <w:r w:rsidRPr="00A06F0A">
        <w:rPr>
          <w:rFonts w:ascii="Century Gothic" w:eastAsia="Century Gothic" w:hAnsi="Century Gothic"/>
          <w:b/>
          <w:sz w:val="20"/>
          <w:szCs w:val="20"/>
        </w:rPr>
        <w:t>Artículo 2°.</w:t>
      </w:r>
      <w:r w:rsidRPr="00A06F0A">
        <w:rPr>
          <w:rFonts w:ascii="Century Gothic" w:eastAsia="Century Gothic" w:hAnsi="Century Gothic"/>
          <w:sz w:val="20"/>
          <w:szCs w:val="20"/>
        </w:rPr>
        <w:t xml:space="preserve"> Adiciónese al Título VIII de la Constitución (De la Rama Judicial) el Capítulo IV-A, “De la jurisdicción agraria y rural”, en los siguientes términos:</w:t>
      </w:r>
    </w:p>
    <w:p w:rsidR="00D25C23" w:rsidRPr="00A06F0A" w:rsidRDefault="00D25C23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</w:p>
    <w:p w:rsidR="00D25C23" w:rsidRDefault="00E64126" w:rsidP="00D25C23">
      <w:pPr>
        <w:spacing w:after="0" w:line="240" w:lineRule="auto"/>
        <w:jc w:val="both"/>
        <w:rPr>
          <w:rFonts w:ascii="Century Gothic" w:eastAsia="Century Gothic" w:hAnsi="Century Gothic"/>
          <w:b/>
          <w:sz w:val="20"/>
          <w:szCs w:val="20"/>
        </w:rPr>
      </w:pPr>
      <w:r w:rsidRPr="00A06F0A">
        <w:rPr>
          <w:rFonts w:ascii="Century Gothic" w:eastAsia="Century Gothic" w:hAnsi="Century Gothic"/>
          <w:b/>
          <w:sz w:val="20"/>
          <w:szCs w:val="20"/>
        </w:rPr>
        <w:t>CAPÍTULO IV-A. DE LA JURISDICCIÓN AGRARIA Y RURAL</w:t>
      </w:r>
    </w:p>
    <w:p w:rsidR="00D25C23" w:rsidRDefault="00D25C23" w:rsidP="00D25C23">
      <w:pPr>
        <w:spacing w:after="0" w:line="240" w:lineRule="auto"/>
        <w:jc w:val="both"/>
        <w:rPr>
          <w:rFonts w:ascii="Century Gothic" w:eastAsia="Century Gothic" w:hAnsi="Century Gothic"/>
          <w:b/>
          <w:sz w:val="20"/>
          <w:szCs w:val="20"/>
        </w:rPr>
      </w:pPr>
    </w:p>
    <w:p w:rsidR="00E64126" w:rsidRDefault="00E64126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  <w:r w:rsidRPr="00A06F0A">
        <w:rPr>
          <w:rFonts w:ascii="Century Gothic" w:eastAsia="Century Gothic" w:hAnsi="Century Gothic"/>
          <w:b/>
          <w:sz w:val="20"/>
          <w:szCs w:val="20"/>
        </w:rPr>
        <w:t>Artículo 245A.</w:t>
      </w:r>
      <w:r w:rsidRPr="00A06F0A">
        <w:rPr>
          <w:rFonts w:ascii="Century Gothic" w:eastAsia="Century Gothic" w:hAnsi="Century Gothic"/>
          <w:sz w:val="20"/>
          <w:szCs w:val="20"/>
        </w:rPr>
        <w:t xml:space="preserve"> La Corte Agraria y Rural es el máximo tribunal de la jurisdicción agraria y rural, cuya estructura y funcionamiento será definido en la ley. Se compondrá de un número impar de magistrados, quienes para ser elegidos requerirán los requisitos y calidades para ser magistrado de la Corte Suprema de Justicia y del Consejo de Estado, y haber ejercido la profesión en actividades relacionadas con el régimen agrario y rural</w:t>
      </w:r>
      <w:r>
        <w:rPr>
          <w:rFonts w:ascii="Century Gothic" w:eastAsia="Century Gothic" w:hAnsi="Century Gothic"/>
          <w:sz w:val="20"/>
          <w:szCs w:val="20"/>
        </w:rPr>
        <w:t>.</w:t>
      </w:r>
      <w:r w:rsidRPr="00A06F0A">
        <w:rPr>
          <w:rFonts w:ascii="Century Gothic" w:eastAsia="Century Gothic" w:hAnsi="Century Gothic"/>
          <w:sz w:val="20"/>
          <w:szCs w:val="20"/>
        </w:rPr>
        <w:t xml:space="preserve"> En lo demás, se regirán por los términos, condiciones y requisitos previstos en los artículos 231, 232 y 233 de la Constitución.</w:t>
      </w:r>
    </w:p>
    <w:p w:rsidR="00D25C23" w:rsidRPr="00A06F0A" w:rsidRDefault="00D25C23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</w:p>
    <w:p w:rsidR="00E64126" w:rsidRPr="00A06F0A" w:rsidRDefault="00E64126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  <w:r w:rsidRPr="00A06F0A">
        <w:rPr>
          <w:rFonts w:ascii="Century Gothic" w:eastAsia="Century Gothic" w:hAnsi="Century Gothic"/>
          <w:sz w:val="20"/>
          <w:szCs w:val="20"/>
        </w:rPr>
        <w:t>Los Magistrados de la Corte Agraria y Rural están sujetos al mismo régimen y estatuto personal, disciplinario, fiscal y penal que regula a los magistrados de una alta Corporación.</w:t>
      </w:r>
    </w:p>
    <w:p w:rsidR="00D25C23" w:rsidRDefault="00D25C23" w:rsidP="00D25C23">
      <w:pPr>
        <w:spacing w:after="0" w:line="240" w:lineRule="auto"/>
        <w:jc w:val="both"/>
        <w:rPr>
          <w:rFonts w:ascii="Century Gothic" w:eastAsia="Century Gothic" w:hAnsi="Century Gothic"/>
          <w:b/>
          <w:sz w:val="20"/>
          <w:szCs w:val="20"/>
        </w:rPr>
      </w:pPr>
    </w:p>
    <w:p w:rsidR="00E64126" w:rsidRPr="00A06F0A" w:rsidRDefault="00E64126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  <w:r w:rsidRPr="00A06F0A">
        <w:rPr>
          <w:rFonts w:ascii="Century Gothic" w:eastAsia="Century Gothic" w:hAnsi="Century Gothic"/>
          <w:b/>
          <w:sz w:val="20"/>
          <w:szCs w:val="20"/>
        </w:rPr>
        <w:t>Parágrafo transitorio</w:t>
      </w:r>
      <w:r w:rsidRPr="00A06F0A">
        <w:rPr>
          <w:rFonts w:ascii="Century Gothic" w:eastAsia="Century Gothic" w:hAnsi="Century Gothic"/>
          <w:sz w:val="20"/>
          <w:szCs w:val="20"/>
        </w:rPr>
        <w:t xml:space="preserve">. Por una sola vez, los Magistrados de la Corte Agraria y Rural serán elegidos </w:t>
      </w:r>
      <w:r>
        <w:rPr>
          <w:rFonts w:ascii="Century Gothic" w:eastAsia="Century Gothic" w:hAnsi="Century Gothic"/>
          <w:sz w:val="20"/>
          <w:szCs w:val="20"/>
        </w:rPr>
        <w:t>pleno del Congreso de la República de listas enviadas por el Consejo Superior dela Judicatura</w:t>
      </w:r>
      <w:r w:rsidRPr="00A06F0A">
        <w:rPr>
          <w:rFonts w:ascii="Century Gothic" w:eastAsia="Century Gothic" w:hAnsi="Century Gothic"/>
          <w:sz w:val="20"/>
          <w:szCs w:val="20"/>
        </w:rPr>
        <w:t>,</w:t>
      </w:r>
      <w:r>
        <w:rPr>
          <w:rFonts w:ascii="Century Gothic" w:eastAsia="Century Gothic" w:hAnsi="Century Gothic"/>
          <w:sz w:val="20"/>
          <w:szCs w:val="20"/>
        </w:rPr>
        <w:t xml:space="preserve"> con base en una convocatoria pública a cargo de dicha autoridad administrativa</w:t>
      </w:r>
      <w:r w:rsidRPr="00A06F0A">
        <w:rPr>
          <w:rFonts w:ascii="Century Gothic" w:eastAsia="Century Gothic" w:hAnsi="Century Gothic"/>
          <w:sz w:val="20"/>
          <w:szCs w:val="20"/>
        </w:rPr>
        <w:t>.</w:t>
      </w:r>
    </w:p>
    <w:p w:rsidR="00E64126" w:rsidRDefault="00E64126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  <w:r w:rsidRPr="00A06F0A">
        <w:rPr>
          <w:rFonts w:ascii="Century Gothic" w:eastAsia="Century Gothic" w:hAnsi="Century Gothic"/>
          <w:b/>
          <w:sz w:val="20"/>
          <w:szCs w:val="20"/>
        </w:rPr>
        <w:t xml:space="preserve"> </w:t>
      </w:r>
      <w:r>
        <w:rPr>
          <w:rFonts w:ascii="Century Gothic" w:eastAsia="Century Gothic" w:hAnsi="Century Gothic"/>
          <w:b/>
          <w:sz w:val="20"/>
          <w:szCs w:val="20"/>
        </w:rPr>
        <w:br/>
      </w:r>
      <w:r w:rsidRPr="00A06F0A">
        <w:rPr>
          <w:rFonts w:ascii="Century Gothic" w:eastAsia="Century Gothic" w:hAnsi="Century Gothic"/>
          <w:b/>
          <w:sz w:val="20"/>
          <w:szCs w:val="20"/>
        </w:rPr>
        <w:t>Artículo 245B.</w:t>
      </w:r>
      <w:r w:rsidRPr="00A06F0A">
        <w:rPr>
          <w:rFonts w:ascii="Century Gothic" w:eastAsia="Century Gothic" w:hAnsi="Century Gothic"/>
          <w:sz w:val="20"/>
          <w:szCs w:val="20"/>
        </w:rPr>
        <w:t xml:space="preserve"> Son funciones de la Corte Agraria y Rural: 1. Desempeñar las funciones de Tribunal Supremo y órgano de cierre de la Jurisdicción Agraria y Rural, conforme a las reglas que señale la ley. 2. Revisar, en la forma que determine la ley, las decisiones judiciales que se profieran por las autoridades judiciales de la jurisdicción agraria y rural. 3. Dirimir los conflictos de competencias en la jurisdicción agraria y rural, que no correspondan a otra autoridad judicial. 4. Preparar y presentar proyectos de ley y de actos reformatorios de la Constitución, en relación con los asuntos de su competencia. 5. Ejercer las demás funciones que determine la ley. 6. Darse su propio reglamento.</w:t>
      </w:r>
    </w:p>
    <w:p w:rsidR="00D25C23" w:rsidRPr="00A06F0A" w:rsidRDefault="00D25C23" w:rsidP="00D25C23">
      <w:pPr>
        <w:spacing w:after="0" w:line="240" w:lineRule="auto"/>
        <w:jc w:val="both"/>
        <w:rPr>
          <w:rFonts w:ascii="Century Gothic" w:eastAsia="Century Gothic" w:hAnsi="Century Gothic"/>
          <w:b/>
          <w:sz w:val="20"/>
          <w:szCs w:val="20"/>
        </w:rPr>
      </w:pPr>
    </w:p>
    <w:p w:rsidR="00E64126" w:rsidRPr="00AB609B" w:rsidRDefault="00AB609B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  <w:r>
        <w:rPr>
          <w:rFonts w:ascii="Century Gothic" w:eastAsia="Century Gothic" w:hAnsi="Century Gothic"/>
          <w:b/>
          <w:sz w:val="20"/>
          <w:szCs w:val="20"/>
        </w:rPr>
        <w:t>Parágrafo</w:t>
      </w:r>
      <w:r w:rsidR="00E64126" w:rsidRPr="00AB609B">
        <w:rPr>
          <w:rFonts w:ascii="Century Gothic" w:eastAsia="Century Gothic" w:hAnsi="Century Gothic"/>
          <w:b/>
          <w:sz w:val="20"/>
          <w:szCs w:val="20"/>
        </w:rPr>
        <w:t xml:space="preserve">. </w:t>
      </w:r>
      <w:r w:rsidR="00E64126" w:rsidRPr="00AB609B">
        <w:rPr>
          <w:rFonts w:ascii="Century Gothic" w:eastAsia="Century Gothic" w:hAnsi="Century Gothic"/>
          <w:sz w:val="20"/>
          <w:szCs w:val="20"/>
        </w:rPr>
        <w:t>Las anteriores funciones se ejercerán con la garantía del enfoque de género y del derecho a las mujeres al acceso efectivo a la justicia</w:t>
      </w:r>
      <w:r w:rsidRPr="00AB609B">
        <w:rPr>
          <w:rFonts w:ascii="Century Gothic" w:eastAsia="Century Gothic" w:hAnsi="Century Gothic"/>
          <w:sz w:val="20"/>
          <w:szCs w:val="20"/>
        </w:rPr>
        <w:t>, así como con la garantía del enfoque territorial y étnico</w:t>
      </w:r>
      <w:r w:rsidR="00E64126" w:rsidRPr="00AB609B">
        <w:rPr>
          <w:rFonts w:ascii="Century Gothic" w:eastAsia="Century Gothic" w:hAnsi="Century Gothic"/>
          <w:sz w:val="20"/>
          <w:szCs w:val="20"/>
        </w:rPr>
        <w:t>.</w:t>
      </w:r>
    </w:p>
    <w:p w:rsidR="00D25C23" w:rsidRDefault="00AB609B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  <w:r w:rsidRPr="00AB609B">
        <w:rPr>
          <w:rFonts w:ascii="Century Gothic" w:eastAsia="Century Gothic" w:hAnsi="Century Gothic"/>
          <w:b/>
          <w:sz w:val="20"/>
          <w:szCs w:val="20"/>
        </w:rPr>
        <w:t>Artículo 3</w:t>
      </w:r>
      <w:r w:rsidR="00E64126" w:rsidRPr="00AB609B">
        <w:rPr>
          <w:rFonts w:ascii="Century Gothic" w:eastAsia="Century Gothic" w:hAnsi="Century Gothic"/>
          <w:sz w:val="20"/>
          <w:szCs w:val="20"/>
        </w:rPr>
        <w:t>. El artículo 156 de la Constitución Política quedará así:</w:t>
      </w:r>
    </w:p>
    <w:p w:rsidR="00E64126" w:rsidRPr="00AB609B" w:rsidRDefault="00E64126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  <w:r w:rsidRPr="00AB609B">
        <w:rPr>
          <w:rFonts w:ascii="Century Gothic" w:eastAsia="Century Gothic" w:hAnsi="Century Gothic"/>
          <w:b/>
          <w:sz w:val="20"/>
          <w:szCs w:val="20"/>
        </w:rPr>
        <w:lastRenderedPageBreak/>
        <w:t>Artículo 156</w:t>
      </w:r>
      <w:r w:rsidRPr="00AB609B">
        <w:rPr>
          <w:rFonts w:ascii="Century Gothic" w:eastAsia="Century Gothic" w:hAnsi="Century Gothic"/>
          <w:sz w:val="20"/>
          <w:szCs w:val="20"/>
        </w:rPr>
        <w:t xml:space="preserve">. La Corte Constitucional, el Consejo </w:t>
      </w:r>
      <w:r w:rsidR="00AB609B" w:rsidRPr="00AB609B">
        <w:rPr>
          <w:rFonts w:ascii="Century Gothic" w:eastAsia="Century Gothic" w:hAnsi="Century Gothic"/>
          <w:sz w:val="20"/>
          <w:szCs w:val="20"/>
        </w:rPr>
        <w:t>Superior de la Judicatura</w:t>
      </w:r>
      <w:r w:rsidRPr="00AB609B">
        <w:rPr>
          <w:rFonts w:ascii="Century Gothic" w:eastAsia="Century Gothic" w:hAnsi="Century Gothic"/>
          <w:sz w:val="20"/>
          <w:szCs w:val="20"/>
        </w:rPr>
        <w:t>, la Corte Suprema de Justicia, el Consejo de Estado, la Corte Agraria y Rural, el Consejo Nacional Electoral, el Procurador General de la Nación, el Contralor General de la República, tienen la facultad de presentar proyectos de ley en materias relacionadas con sus funciones.</w:t>
      </w:r>
    </w:p>
    <w:p w:rsidR="00D25C23" w:rsidRDefault="00D25C23" w:rsidP="00D25C23">
      <w:pPr>
        <w:spacing w:after="0" w:line="240" w:lineRule="auto"/>
        <w:jc w:val="both"/>
        <w:rPr>
          <w:rFonts w:ascii="Century Gothic" w:eastAsia="Century Gothic" w:hAnsi="Century Gothic"/>
          <w:b/>
          <w:sz w:val="20"/>
          <w:szCs w:val="20"/>
        </w:rPr>
      </w:pPr>
    </w:p>
    <w:p w:rsidR="00E64126" w:rsidRPr="00AB609B" w:rsidRDefault="00E64126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  <w:r w:rsidRPr="00AB609B">
        <w:rPr>
          <w:rFonts w:ascii="Century Gothic" w:eastAsia="Century Gothic" w:hAnsi="Century Gothic"/>
          <w:b/>
          <w:sz w:val="20"/>
          <w:szCs w:val="20"/>
        </w:rPr>
        <w:t>Artículo 4°</w:t>
      </w:r>
      <w:r w:rsidRPr="00AB609B">
        <w:rPr>
          <w:rFonts w:ascii="Century Gothic" w:eastAsia="Century Gothic" w:hAnsi="Century Gothic"/>
          <w:sz w:val="20"/>
          <w:szCs w:val="20"/>
        </w:rPr>
        <w:t>. El artículo 174 de la Constitución quedará así:</w:t>
      </w:r>
    </w:p>
    <w:p w:rsidR="00D25C23" w:rsidRDefault="00D25C23" w:rsidP="00D25C23">
      <w:pPr>
        <w:spacing w:after="0" w:line="240" w:lineRule="auto"/>
        <w:jc w:val="both"/>
        <w:rPr>
          <w:rFonts w:ascii="Century Gothic" w:eastAsia="Century Gothic" w:hAnsi="Century Gothic"/>
          <w:b/>
          <w:sz w:val="20"/>
          <w:szCs w:val="20"/>
        </w:rPr>
      </w:pPr>
    </w:p>
    <w:p w:rsidR="00E64126" w:rsidRPr="00AB609B" w:rsidRDefault="00E64126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  <w:r w:rsidRPr="00AB609B">
        <w:rPr>
          <w:rFonts w:ascii="Century Gothic" w:eastAsia="Century Gothic" w:hAnsi="Century Gothic"/>
          <w:b/>
          <w:sz w:val="20"/>
          <w:szCs w:val="20"/>
        </w:rPr>
        <w:t>Art. 174.</w:t>
      </w:r>
      <w:r w:rsidRPr="00AB609B">
        <w:rPr>
          <w:rFonts w:ascii="Century Gothic" w:eastAsia="Century Gothic" w:hAnsi="Century Gothic"/>
          <w:sz w:val="20"/>
          <w:szCs w:val="20"/>
        </w:rPr>
        <w:t xml:space="preserve"> Corresponde al Senado conocer de las acusaciones que formule la Cámara de Representantes contra el Presidente de la República o quien haga sus veces; contra los magistrados de la Corte Suprema de Justicia, del Consejo de Estado, de la Corte Agraria y Rural y de la Corte Constitucional, los miembros del Consejo Superior de la Judicatura y el Fiscal General de la Nación, aunque hubieren cesado en el ejercicio de sus cargos. En este caso, conocerá por hechos u omisiones ocurridos en el desempeño de los mismos.</w:t>
      </w:r>
    </w:p>
    <w:p w:rsidR="00D25C23" w:rsidRDefault="00D25C23" w:rsidP="00D25C23">
      <w:pPr>
        <w:spacing w:after="0" w:line="240" w:lineRule="auto"/>
        <w:jc w:val="both"/>
        <w:rPr>
          <w:rFonts w:ascii="Century Gothic" w:eastAsia="Century Gothic" w:hAnsi="Century Gothic"/>
          <w:b/>
          <w:sz w:val="20"/>
          <w:szCs w:val="20"/>
        </w:rPr>
      </w:pPr>
    </w:p>
    <w:p w:rsidR="00E64126" w:rsidRPr="00A06F0A" w:rsidRDefault="00E64126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  <w:r w:rsidRPr="00AB609B">
        <w:rPr>
          <w:rFonts w:ascii="Century Gothic" w:eastAsia="Century Gothic" w:hAnsi="Century Gothic"/>
          <w:b/>
          <w:sz w:val="20"/>
          <w:szCs w:val="20"/>
        </w:rPr>
        <w:t>Artículo 5°.</w:t>
      </w:r>
      <w:r w:rsidRPr="00A06F0A">
        <w:rPr>
          <w:rFonts w:ascii="Century Gothic" w:eastAsia="Century Gothic" w:hAnsi="Century Gothic"/>
          <w:sz w:val="20"/>
          <w:szCs w:val="20"/>
        </w:rPr>
        <w:t xml:space="preserve"> El artículo 238 de la Constitución Política quedará así:</w:t>
      </w:r>
    </w:p>
    <w:p w:rsidR="00D25C23" w:rsidRDefault="00D25C23" w:rsidP="00D25C23">
      <w:pPr>
        <w:spacing w:after="0" w:line="240" w:lineRule="auto"/>
        <w:jc w:val="both"/>
        <w:rPr>
          <w:rFonts w:ascii="Century Gothic" w:eastAsia="Century Gothic" w:hAnsi="Century Gothic"/>
          <w:b/>
          <w:sz w:val="20"/>
          <w:szCs w:val="20"/>
        </w:rPr>
      </w:pPr>
    </w:p>
    <w:p w:rsidR="00E64126" w:rsidRPr="00A06F0A" w:rsidRDefault="00E64126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  <w:r w:rsidRPr="00AB609B">
        <w:rPr>
          <w:rFonts w:ascii="Century Gothic" w:eastAsia="Century Gothic" w:hAnsi="Century Gothic"/>
          <w:b/>
          <w:sz w:val="20"/>
          <w:szCs w:val="20"/>
        </w:rPr>
        <w:t>Artículo 238</w:t>
      </w:r>
      <w:r w:rsidRPr="00A06F0A">
        <w:rPr>
          <w:rFonts w:ascii="Century Gothic" w:eastAsia="Century Gothic" w:hAnsi="Century Gothic"/>
          <w:sz w:val="20"/>
          <w:szCs w:val="20"/>
        </w:rPr>
        <w:t>. La jurisdicción de lo contencioso administrativo y la jurisdicción agraria y rural podrán suspender provisionalmente, en los asuntos que sean de su competencia, por los motivos y con los requisitos que establezca la ley, los efectos de los actos administrativos que sean susceptibles de impugnación por vía judicial.</w:t>
      </w:r>
    </w:p>
    <w:p w:rsidR="00D25C23" w:rsidRDefault="00D25C23" w:rsidP="00D25C23">
      <w:pPr>
        <w:spacing w:after="0" w:line="240" w:lineRule="auto"/>
        <w:jc w:val="both"/>
        <w:rPr>
          <w:rFonts w:ascii="Century Gothic" w:eastAsia="Century Gothic" w:hAnsi="Century Gothic"/>
          <w:b/>
          <w:sz w:val="20"/>
          <w:szCs w:val="20"/>
        </w:rPr>
      </w:pPr>
    </w:p>
    <w:p w:rsidR="00E64126" w:rsidRPr="00A06F0A" w:rsidRDefault="00E64126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  <w:r w:rsidRPr="00AB609B">
        <w:rPr>
          <w:rFonts w:ascii="Century Gothic" w:eastAsia="Century Gothic" w:hAnsi="Century Gothic"/>
          <w:b/>
          <w:sz w:val="20"/>
          <w:szCs w:val="20"/>
        </w:rPr>
        <w:t>Artículo 6°.</w:t>
      </w:r>
      <w:r w:rsidRPr="00A06F0A">
        <w:rPr>
          <w:rFonts w:ascii="Century Gothic" w:eastAsia="Century Gothic" w:hAnsi="Century Gothic"/>
          <w:sz w:val="20"/>
          <w:szCs w:val="20"/>
        </w:rPr>
        <w:t xml:space="preserve"> La Jurisdicción Agraria y Rural entrará a funcionar en un término no superior a dos (2) años siguientes a la promulgación de este acto legislativo. Su implementación será progresiva y, mientras entra en funcionamiento en todo el territorio nacional, se podrá adoptar un régimen de transición en los términos y condiciones que defina la ley</w:t>
      </w:r>
    </w:p>
    <w:p w:rsidR="00D25C23" w:rsidRDefault="00D25C23" w:rsidP="00D25C23">
      <w:pPr>
        <w:spacing w:after="0" w:line="240" w:lineRule="auto"/>
        <w:jc w:val="both"/>
        <w:rPr>
          <w:rFonts w:ascii="Century Gothic" w:eastAsia="Century Gothic" w:hAnsi="Century Gothic"/>
          <w:b/>
          <w:sz w:val="20"/>
          <w:szCs w:val="20"/>
        </w:rPr>
      </w:pPr>
    </w:p>
    <w:p w:rsidR="00E64126" w:rsidRPr="00AB609B" w:rsidRDefault="00E64126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  <w:r w:rsidRPr="00AB609B">
        <w:rPr>
          <w:rFonts w:ascii="Century Gothic" w:eastAsia="Century Gothic" w:hAnsi="Century Gothic"/>
          <w:b/>
          <w:sz w:val="20"/>
          <w:szCs w:val="20"/>
        </w:rPr>
        <w:t xml:space="preserve">Parágrafo transitorio. </w:t>
      </w:r>
      <w:r w:rsidRPr="00AB609B">
        <w:rPr>
          <w:rFonts w:ascii="Century Gothic" w:eastAsia="Century Gothic" w:hAnsi="Century Gothic"/>
          <w:sz w:val="20"/>
          <w:szCs w:val="20"/>
        </w:rPr>
        <w:t>Mientras entra en funcionamiento la Jurisdicción Agraria y Rural, el Consejo Superior de la Judicatura, designará autoridades judiciales para resolver conflictos rurales y agrarios ya existentes en todo el territorio nacional.</w:t>
      </w:r>
    </w:p>
    <w:p w:rsidR="00D25C23" w:rsidRDefault="00D25C23" w:rsidP="00D25C23">
      <w:pPr>
        <w:spacing w:after="0" w:line="240" w:lineRule="auto"/>
        <w:jc w:val="both"/>
        <w:rPr>
          <w:rFonts w:ascii="Century Gothic" w:eastAsia="Century Gothic" w:hAnsi="Century Gothic"/>
          <w:b/>
          <w:sz w:val="20"/>
          <w:szCs w:val="20"/>
        </w:rPr>
      </w:pPr>
    </w:p>
    <w:p w:rsidR="00E64126" w:rsidRPr="00A06F0A" w:rsidRDefault="00E64126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  <w:r w:rsidRPr="00AB609B">
        <w:rPr>
          <w:rFonts w:ascii="Century Gothic" w:eastAsia="Century Gothic" w:hAnsi="Century Gothic"/>
          <w:b/>
          <w:sz w:val="20"/>
          <w:szCs w:val="20"/>
        </w:rPr>
        <w:t>Artículo 7°.</w:t>
      </w:r>
      <w:r w:rsidRPr="00A06F0A">
        <w:rPr>
          <w:rFonts w:ascii="Century Gothic" w:eastAsia="Century Gothic" w:hAnsi="Century Gothic"/>
          <w:sz w:val="20"/>
          <w:szCs w:val="20"/>
        </w:rPr>
        <w:t xml:space="preserve"> El Congreso de la República tramitará y expedirá en la siguiente legislatura la ley por medio de la cual se establezca la conformación y funcionamiento de la jurisdicción, el procedimiento especial agrario y rural.</w:t>
      </w:r>
    </w:p>
    <w:p w:rsidR="00D25C23" w:rsidRDefault="00D25C23" w:rsidP="00D25C23">
      <w:pPr>
        <w:spacing w:after="0" w:line="240" w:lineRule="auto"/>
        <w:jc w:val="both"/>
        <w:rPr>
          <w:rFonts w:ascii="Century Gothic" w:eastAsia="Century Gothic" w:hAnsi="Century Gothic"/>
          <w:b/>
          <w:sz w:val="20"/>
          <w:szCs w:val="20"/>
        </w:rPr>
      </w:pPr>
    </w:p>
    <w:p w:rsidR="00E64126" w:rsidRDefault="00E64126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  <w:r w:rsidRPr="00AB609B">
        <w:rPr>
          <w:rFonts w:ascii="Century Gothic" w:eastAsia="Century Gothic" w:hAnsi="Century Gothic"/>
          <w:b/>
          <w:sz w:val="20"/>
          <w:szCs w:val="20"/>
        </w:rPr>
        <w:t>Artículo 8°.</w:t>
      </w:r>
      <w:r w:rsidRPr="00A06F0A">
        <w:rPr>
          <w:rFonts w:ascii="Century Gothic" w:eastAsia="Century Gothic" w:hAnsi="Century Gothic"/>
          <w:sz w:val="20"/>
          <w:szCs w:val="20"/>
        </w:rPr>
        <w:t xml:space="preserve"> El presente acto legislativo entrará en vigencia a partir de la fecha de su promulgación.</w:t>
      </w:r>
    </w:p>
    <w:p w:rsidR="00D25C23" w:rsidRDefault="00D25C23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</w:p>
    <w:p w:rsidR="00AB609B" w:rsidRDefault="00AB609B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  <w:r>
        <w:rPr>
          <w:rFonts w:ascii="Century Gothic" w:eastAsia="Century Gothic" w:hAnsi="Century Gothic"/>
          <w:sz w:val="20"/>
          <w:szCs w:val="20"/>
        </w:rPr>
        <w:t>En los anteriores términos fue aprobado con modificaciones el presente Proyecto de Acto Legislativo según consta en las Actas No. 18 y 19 de octubre 6 y 11 de 2022, respectivamente; así mismo fue anunciado, entre otras fechas según consta en las Actas No. 17 y 18 de los días 5 y 6 de octubre de 2022, respectivamente.</w:t>
      </w:r>
    </w:p>
    <w:p w:rsidR="00114AE7" w:rsidRDefault="00114AE7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</w:p>
    <w:p w:rsidR="00114AE7" w:rsidRDefault="00114AE7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</w:p>
    <w:p w:rsidR="00D25C23" w:rsidRDefault="00D25C23" w:rsidP="00D25C23">
      <w:pPr>
        <w:spacing w:after="0" w:line="240" w:lineRule="auto"/>
        <w:jc w:val="both"/>
        <w:rPr>
          <w:rFonts w:ascii="Century Gothic" w:eastAsia="Century Gothic" w:hAnsi="Century Gothic"/>
          <w:sz w:val="20"/>
          <w:szCs w:val="20"/>
        </w:rPr>
      </w:pPr>
    </w:p>
    <w:p w:rsidR="00AB609B" w:rsidRPr="00114AE7" w:rsidRDefault="00114AE7" w:rsidP="00D25C23">
      <w:pPr>
        <w:spacing w:after="0" w:line="240" w:lineRule="auto"/>
        <w:rPr>
          <w:rFonts w:ascii="Century Gothic" w:eastAsia="Century Gothic" w:hAnsi="Century Gothic"/>
          <w:b/>
          <w:sz w:val="20"/>
          <w:szCs w:val="20"/>
        </w:rPr>
      </w:pPr>
      <w:r w:rsidRPr="00114AE7">
        <w:rPr>
          <w:rFonts w:ascii="Century Gothic" w:eastAsia="Century Gothic" w:hAnsi="Century Gothic"/>
          <w:b/>
          <w:sz w:val="20"/>
          <w:szCs w:val="20"/>
        </w:rPr>
        <w:t xml:space="preserve">DELCY ESPERANZA ISAZA BUENAVENTURA  </w:t>
      </w:r>
      <w:r>
        <w:rPr>
          <w:rFonts w:ascii="Century Gothic" w:eastAsia="Century Gothic" w:hAnsi="Century Gothic"/>
          <w:b/>
          <w:sz w:val="20"/>
          <w:szCs w:val="20"/>
        </w:rPr>
        <w:t xml:space="preserve">       </w:t>
      </w:r>
      <w:r w:rsidRPr="00114AE7">
        <w:rPr>
          <w:rFonts w:ascii="Century Gothic" w:eastAsia="Century Gothic" w:hAnsi="Century Gothic"/>
          <w:b/>
          <w:sz w:val="20"/>
          <w:szCs w:val="20"/>
        </w:rPr>
        <w:t>GABRIEL BECERRA YÁÑEZ</w:t>
      </w:r>
    </w:p>
    <w:p w:rsidR="00114AE7" w:rsidRDefault="00114AE7" w:rsidP="00D25C23">
      <w:pPr>
        <w:spacing w:after="0" w:line="240" w:lineRule="auto"/>
        <w:rPr>
          <w:rFonts w:ascii="Century Gothic" w:eastAsia="Century Gothic" w:hAnsi="Century Gothic"/>
          <w:b/>
          <w:sz w:val="20"/>
          <w:szCs w:val="20"/>
        </w:rPr>
      </w:pPr>
      <w:r w:rsidRPr="00114AE7">
        <w:rPr>
          <w:rFonts w:ascii="Century Gothic" w:eastAsia="Century Gothic" w:hAnsi="Century Gothic"/>
          <w:b/>
          <w:sz w:val="20"/>
          <w:szCs w:val="20"/>
        </w:rPr>
        <w:t xml:space="preserve">Ponente Coordinador                                    </w:t>
      </w:r>
      <w:r>
        <w:rPr>
          <w:rFonts w:ascii="Century Gothic" w:eastAsia="Century Gothic" w:hAnsi="Century Gothic"/>
          <w:b/>
          <w:sz w:val="20"/>
          <w:szCs w:val="20"/>
        </w:rPr>
        <w:t xml:space="preserve">       </w:t>
      </w:r>
      <w:r w:rsidRPr="00114AE7">
        <w:rPr>
          <w:rFonts w:ascii="Century Gothic" w:eastAsia="Century Gothic" w:hAnsi="Century Gothic"/>
          <w:b/>
          <w:sz w:val="20"/>
          <w:szCs w:val="20"/>
        </w:rPr>
        <w:t>Ponente Coordinador</w:t>
      </w:r>
    </w:p>
    <w:p w:rsidR="00114AE7" w:rsidRDefault="00114AE7" w:rsidP="00D25C23">
      <w:pPr>
        <w:spacing w:after="0" w:line="240" w:lineRule="auto"/>
        <w:rPr>
          <w:rFonts w:ascii="Century Gothic" w:eastAsia="Century Gothic" w:hAnsi="Century Gothic"/>
          <w:b/>
          <w:sz w:val="20"/>
          <w:szCs w:val="20"/>
        </w:rPr>
      </w:pPr>
    </w:p>
    <w:p w:rsidR="00114AE7" w:rsidRDefault="00114AE7" w:rsidP="00D25C23">
      <w:pPr>
        <w:spacing w:after="0" w:line="240" w:lineRule="auto"/>
        <w:rPr>
          <w:rFonts w:ascii="Century Gothic" w:eastAsia="Century Gothic" w:hAnsi="Century Gothic"/>
          <w:b/>
          <w:sz w:val="20"/>
          <w:szCs w:val="20"/>
        </w:rPr>
      </w:pPr>
    </w:p>
    <w:p w:rsidR="00114AE7" w:rsidRPr="00114AE7" w:rsidRDefault="00114AE7" w:rsidP="00D25C23">
      <w:pPr>
        <w:spacing w:after="0" w:line="240" w:lineRule="auto"/>
        <w:rPr>
          <w:rFonts w:ascii="Century Gothic" w:eastAsia="Century Gothic" w:hAnsi="Century Gothic"/>
          <w:b/>
          <w:sz w:val="20"/>
          <w:szCs w:val="20"/>
        </w:rPr>
      </w:pPr>
    </w:p>
    <w:p w:rsidR="00114AE7" w:rsidRPr="00114AE7" w:rsidRDefault="00114AE7" w:rsidP="00D25C23">
      <w:pPr>
        <w:spacing w:after="0" w:line="240" w:lineRule="auto"/>
        <w:rPr>
          <w:rFonts w:ascii="Century Gothic" w:eastAsia="Century Gothic" w:hAnsi="Century Gothic"/>
          <w:b/>
          <w:sz w:val="20"/>
          <w:szCs w:val="20"/>
        </w:rPr>
      </w:pPr>
      <w:r w:rsidRPr="00114AE7">
        <w:rPr>
          <w:rFonts w:ascii="Century Gothic" w:eastAsia="Century Gothic" w:hAnsi="Century Gothic"/>
          <w:b/>
          <w:sz w:val="20"/>
          <w:szCs w:val="20"/>
        </w:rPr>
        <w:t xml:space="preserve">JUAN CAROS WILLS OSPINA                           </w:t>
      </w:r>
      <w:r>
        <w:rPr>
          <w:rFonts w:ascii="Century Gothic" w:eastAsia="Century Gothic" w:hAnsi="Century Gothic"/>
          <w:b/>
          <w:sz w:val="20"/>
          <w:szCs w:val="20"/>
        </w:rPr>
        <w:t xml:space="preserve">      </w:t>
      </w:r>
      <w:r w:rsidRPr="00114AE7">
        <w:rPr>
          <w:rFonts w:ascii="Century Gothic" w:eastAsia="Century Gothic" w:hAnsi="Century Gothic"/>
          <w:b/>
          <w:sz w:val="20"/>
          <w:szCs w:val="20"/>
        </w:rPr>
        <w:t>AMPARO YANETH CALDERON PERDOMO</w:t>
      </w:r>
    </w:p>
    <w:p w:rsidR="0084161F" w:rsidRPr="00D25C23" w:rsidRDefault="00114AE7" w:rsidP="00D25C23">
      <w:pPr>
        <w:spacing w:after="0" w:line="240" w:lineRule="auto"/>
        <w:rPr>
          <w:rFonts w:ascii="Century Gothic" w:eastAsia="Century Gothic" w:hAnsi="Century Gothic"/>
          <w:b/>
          <w:sz w:val="20"/>
          <w:szCs w:val="20"/>
        </w:rPr>
      </w:pPr>
      <w:r w:rsidRPr="00114AE7">
        <w:rPr>
          <w:rFonts w:ascii="Century Gothic" w:eastAsia="Century Gothic" w:hAnsi="Century Gothic"/>
          <w:b/>
          <w:sz w:val="20"/>
          <w:szCs w:val="20"/>
        </w:rPr>
        <w:t xml:space="preserve">Presidente                                                        </w:t>
      </w:r>
      <w:r>
        <w:rPr>
          <w:rFonts w:ascii="Century Gothic" w:eastAsia="Century Gothic" w:hAnsi="Century Gothic"/>
          <w:b/>
          <w:sz w:val="20"/>
          <w:szCs w:val="20"/>
        </w:rPr>
        <w:t xml:space="preserve">      </w:t>
      </w:r>
      <w:r w:rsidRPr="00114AE7">
        <w:rPr>
          <w:rFonts w:ascii="Century Gothic" w:eastAsia="Century Gothic" w:hAnsi="Century Gothic"/>
          <w:b/>
          <w:sz w:val="20"/>
          <w:szCs w:val="20"/>
        </w:rPr>
        <w:t>Secretaria</w:t>
      </w:r>
      <w:bookmarkStart w:id="0" w:name="_GoBack"/>
      <w:bookmarkEnd w:id="0"/>
    </w:p>
    <w:sectPr w:rsidR="0084161F" w:rsidRPr="00D25C23" w:rsidSect="00D25C23">
      <w:headerReference w:type="default" r:id="rId6"/>
      <w:pgSz w:w="12240" w:h="15840"/>
      <w:pgMar w:top="120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87E" w:rsidRDefault="00AF587E" w:rsidP="004E10AD">
      <w:pPr>
        <w:spacing w:after="0" w:line="240" w:lineRule="auto"/>
      </w:pPr>
      <w:r>
        <w:separator/>
      </w:r>
    </w:p>
  </w:endnote>
  <w:endnote w:type="continuationSeparator" w:id="0">
    <w:p w:rsidR="00AF587E" w:rsidRDefault="00AF587E" w:rsidP="004E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87E" w:rsidRDefault="00AF587E" w:rsidP="004E10AD">
      <w:pPr>
        <w:spacing w:after="0" w:line="240" w:lineRule="auto"/>
      </w:pPr>
      <w:r>
        <w:separator/>
      </w:r>
    </w:p>
  </w:footnote>
  <w:footnote w:type="continuationSeparator" w:id="0">
    <w:p w:rsidR="00AF587E" w:rsidRDefault="00AF587E" w:rsidP="004E1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0AD" w:rsidRDefault="004E10AD" w:rsidP="004E10AD">
    <w:pPr>
      <w:pStyle w:val="Encabezado"/>
      <w:jc w:val="center"/>
    </w:pPr>
    <w:r w:rsidRPr="00E775AA">
      <w:rPr>
        <w:b/>
      </w:rPr>
      <w:fldChar w:fldCharType="begin"/>
    </w:r>
    <w:r w:rsidRPr="00E775AA">
      <w:rPr>
        <w:b/>
      </w:rPr>
      <w:instrText xml:space="preserve"> INCLUDEPICTURE "http://entrecomillas.com.co/wp-content/uploads/2014/09/logo_20congreso_1.png" \* MERGEFORMATINET </w:instrText>
    </w:r>
    <w:r w:rsidRPr="00E775AA">
      <w:rPr>
        <w:b/>
      </w:rPr>
      <w:fldChar w:fldCharType="separate"/>
    </w:r>
    <w:r>
      <w:rPr>
        <w:b/>
      </w:rPr>
      <w:fldChar w:fldCharType="begin"/>
    </w:r>
    <w:r>
      <w:rPr>
        <w:b/>
      </w:rPr>
      <w:instrText xml:space="preserve"> INCLUDEPICTURE  "http://entrecomillas.com.co/wp-content/uploads/2014/09/logo_20congreso_1.png" \* MERGEFORMATINET </w:instrText>
    </w:r>
    <w:r>
      <w:rPr>
        <w:b/>
      </w:rPr>
      <w:fldChar w:fldCharType="separate"/>
    </w:r>
    <w:r w:rsidR="00AF587E">
      <w:rPr>
        <w:b/>
      </w:rPr>
      <w:fldChar w:fldCharType="begin"/>
    </w:r>
    <w:r w:rsidR="00AF587E">
      <w:rPr>
        <w:b/>
      </w:rPr>
      <w:instrText xml:space="preserve"> </w:instrText>
    </w:r>
    <w:r w:rsidR="00AF587E">
      <w:rPr>
        <w:b/>
      </w:rPr>
      <w:instrText>INCLUDEPICTURE  "</w:instrText>
    </w:r>
    <w:r w:rsidR="00AF587E">
      <w:rPr>
        <w:b/>
      </w:rPr>
      <w:instrText>http://entrecomillas.com.co/wp-content/uploads/2014/09/logo_20congreso_1.png" \* MERGEFORMATINET</w:instrText>
    </w:r>
    <w:r w:rsidR="00AF587E">
      <w:rPr>
        <w:b/>
      </w:rPr>
      <w:instrText xml:space="preserve"> </w:instrText>
    </w:r>
    <w:r w:rsidR="00AF587E">
      <w:rPr>
        <w:b/>
      </w:rPr>
      <w:fldChar w:fldCharType="separate"/>
    </w:r>
    <w:r w:rsidR="00D25C23">
      <w:rPr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style="width:184.5pt;height:51.75pt">
          <v:imagedata r:id="rId1" r:href="rId2"/>
        </v:shape>
      </w:pict>
    </w:r>
    <w:r w:rsidR="00AF587E">
      <w:rPr>
        <w:b/>
      </w:rPr>
      <w:fldChar w:fldCharType="end"/>
    </w:r>
    <w:r>
      <w:rPr>
        <w:b/>
      </w:rPr>
      <w:fldChar w:fldCharType="end"/>
    </w:r>
    <w:r w:rsidRPr="00E775AA">
      <w:rPr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26"/>
    <w:rsid w:val="000F7605"/>
    <w:rsid w:val="00114AE7"/>
    <w:rsid w:val="00355E15"/>
    <w:rsid w:val="00417449"/>
    <w:rsid w:val="004E10AD"/>
    <w:rsid w:val="004E2541"/>
    <w:rsid w:val="005F017C"/>
    <w:rsid w:val="007B7FE4"/>
    <w:rsid w:val="00AB609B"/>
    <w:rsid w:val="00AF587E"/>
    <w:rsid w:val="00D25C23"/>
    <w:rsid w:val="00E6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DE8E6B4-39DD-4322-AFBF-5006BEDF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126"/>
    <w:pPr>
      <w:spacing w:after="200" w:line="276" w:lineRule="auto"/>
    </w:pPr>
    <w:rPr>
      <w:rFonts w:ascii="Calibri" w:eastAsia="Calibri" w:hAnsi="Calibri" w:cs="Times New Roman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B609B"/>
    <w:pPr>
      <w:spacing w:after="200" w:line="276" w:lineRule="auto"/>
    </w:pPr>
    <w:rPr>
      <w:rFonts w:ascii="Calibri" w:eastAsia="Calibri" w:hAnsi="Calibri" w:cs="Calibri"/>
      <w:lang w:val="es-ES_tradnl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E10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0AD"/>
    <w:rPr>
      <w:rFonts w:ascii="Calibri" w:eastAsia="Calibri" w:hAnsi="Calibri" w:cs="Times New Roman"/>
      <w:lang w:val="es-ES_tradnl" w:eastAsia="es-CO"/>
    </w:rPr>
  </w:style>
  <w:style w:type="paragraph" w:styleId="Piedepgina">
    <w:name w:val="footer"/>
    <w:basedOn w:val="Normal"/>
    <w:link w:val="PiedepginaCar"/>
    <w:uiPriority w:val="99"/>
    <w:unhideWhenUsed/>
    <w:rsid w:val="004E10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0AD"/>
    <w:rPr>
      <w:rFonts w:ascii="Calibri" w:eastAsia="Calibri" w:hAnsi="Calibri" w:cs="Times New Roman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trecomillas.com.co/wp-content/uploads/2014/09/logo_20congreso_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898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Sonia Cortes Castillo</dc:creator>
  <cp:keywords/>
  <dc:description/>
  <cp:lastModifiedBy>Dora Sonia Cortes Castillo</cp:lastModifiedBy>
  <cp:revision>3</cp:revision>
  <dcterms:created xsi:type="dcterms:W3CDTF">2022-10-12T15:29:00Z</dcterms:created>
  <dcterms:modified xsi:type="dcterms:W3CDTF">2022-10-12T16:33:00Z</dcterms:modified>
</cp:coreProperties>
</file>